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314DA8" w:rsidRPr="00314DA8" w:rsidRDefault="00FD48C9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314DA8" w:rsidRPr="00314DA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E07B98">
        <w:rPr>
          <w:rFonts w:ascii="Times New Roman" w:hAnsi="Times New Roman" w:cs="Times New Roman"/>
          <w:b/>
          <w:sz w:val="24"/>
          <w:szCs w:val="24"/>
        </w:rPr>
        <w:t>а Института за физику одржане 10.07</w:t>
      </w:r>
      <w:r w:rsidR="001D5306">
        <w:rPr>
          <w:rFonts w:ascii="Times New Roman" w:hAnsi="Times New Roman" w:cs="Times New Roman"/>
          <w:b/>
          <w:sz w:val="24"/>
          <w:szCs w:val="24"/>
        </w:rPr>
        <w:t>.2018</w:t>
      </w:r>
      <w:r w:rsidR="00314DA8" w:rsidRPr="00314DA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E07B98" w:rsidRPr="00314DA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E07B98" w:rsidRPr="00314DA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</w:t>
      </w:r>
      <w:r>
        <w:rPr>
          <w:rFonts w:ascii="Times New Roman" w:hAnsi="Times New Roman" w:cs="Times New Roman"/>
          <w:sz w:val="24"/>
          <w:szCs w:val="24"/>
          <w:lang/>
        </w:rPr>
        <w:t xml:space="preserve"> др Антун Балаж, др Александар Белић,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Александар Богојевић,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Ненад Вукмировић,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Pr="00314DA8">
        <w:rPr>
          <w:rFonts w:ascii="Times New Roman" w:hAnsi="Times New Roman" w:cs="Times New Roman"/>
          <w:sz w:val="24"/>
          <w:szCs w:val="24"/>
        </w:rPr>
        <w:t>Радош</w:t>
      </w:r>
      <w:r>
        <w:rPr>
          <w:rFonts w:ascii="Times New Roman" w:hAnsi="Times New Roman" w:cs="Times New Roman"/>
          <w:sz w:val="24"/>
          <w:szCs w:val="24"/>
        </w:rPr>
        <w:t xml:space="preserve"> Гајић</w:t>
      </w:r>
      <w:r w:rsidRPr="0031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др Саша Дујко, др Зорана Дохчевић Митровић, д</w:t>
      </w:r>
      <w:r w:rsidRPr="00314DA8">
        <w:rPr>
          <w:rFonts w:ascii="Times New Roman" w:hAnsi="Times New Roman" w:cs="Times New Roman"/>
          <w:sz w:val="24"/>
          <w:szCs w:val="24"/>
        </w:rPr>
        <w:t xml:space="preserve">р Љубинко Игњатовић, др Радмила Костић,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Гордана Маловић, др Братислав Маринковић, др Зоран Петровић, др Слободан Првановић, др Невена Пуач, др Марија Радмиловић Рађеновић, </w:t>
      </w:r>
      <w:r w:rsidRPr="00314DA8">
        <w:rPr>
          <w:rFonts w:ascii="Times New Roman" w:hAnsi="Times New Roman" w:cs="Times New Roman"/>
          <w:sz w:val="24"/>
          <w:szCs w:val="24"/>
        </w:rPr>
        <w:t>др Маја Шћепановић</w:t>
      </w:r>
    </w:p>
    <w:p w:rsidR="00E07B98" w:rsidRPr="00D96052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/>
        </w:rPr>
        <w:t xml:space="preserve">др Мира Аничић Урошевић, др Марко Војиновић, др Ненад Врањеш, др Горан Исић, др Ненад Лазаревић, др Зорица Лазаревић, др Зоран Мијић, др Марија Митровић Данкулов,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Владимир Срећковић, </w:t>
      </w:r>
      <w:r>
        <w:rPr>
          <w:rFonts w:ascii="Times New Roman" w:hAnsi="Times New Roman" w:cs="Times New Roman"/>
          <w:sz w:val="24"/>
          <w:szCs w:val="24"/>
          <w:lang/>
        </w:rPr>
        <w:t>др Јелена Трајић,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др Бранислав Цветковић, др Никола Шкоро</w:t>
      </w:r>
    </w:p>
    <w:p w:rsidR="00E07B98" w:rsidRPr="00180DDA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/>
        </w:rPr>
        <w:t>др Марина Лекић,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Милош  Радоњић, </w:t>
      </w:r>
      <w:r>
        <w:rPr>
          <w:rFonts w:ascii="Times New Roman" w:hAnsi="Times New Roman" w:cs="Times New Roman"/>
          <w:sz w:val="24"/>
          <w:szCs w:val="24"/>
          <w:lang/>
        </w:rPr>
        <w:t>др Сања Тошић, др Игор Франовић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E07B98" w:rsidRPr="00A93570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/>
        </w:rPr>
        <w:t>др Магдалена Ђорђевић, др Дејан Пантелић, др Бранислав Рађеновић, др Јасна Ристић Ђуровић, др Маја Ромчевић, др Небојша Ромчевић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/>
        </w:rPr>
        <w:t>др Радомир Бањанац, др Дарко Васиљевић, др Димитрије Степаненко, др Владимир Удовичић, др Милован Шуваков</w:t>
      </w:r>
    </w:p>
    <w:p w:rsidR="00E07B9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Научни сарадници: др Владан Челебоновић</w:t>
      </w:r>
    </w:p>
    <w:p w:rsidR="00E07B98" w:rsidRPr="00971370" w:rsidRDefault="00E07B98" w:rsidP="00E07B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Електронски гласали по тачкама дневног реда: др Владан Челебоновић</w:t>
      </w:r>
    </w:p>
    <w:p w:rsidR="0033701F" w:rsidRPr="00314DA8" w:rsidRDefault="0033701F" w:rsidP="00314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рад на седници усвојен је следећи дневни ред:</w:t>
      </w:r>
    </w:p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1. Усвајање записника са редовне седнице одржане </w:t>
      </w:r>
      <w:hyperlink r:id="rId8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29.5.2018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. године.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2. Утврђивање предлога за избор у научно звање и избор у истраживачко звање (извештај Комисије за вредновање научног рада):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2.1. др Бранислав Цветковић - избор у звање научни саветник (</w:t>
      </w:r>
      <w:hyperlink r:id="rId9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hyperlink r:id="rId10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hyperlink r:id="rId11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2.2. др Зоран Распоповић - реизбор у звање виши научни сарадник (</w:t>
      </w:r>
      <w:hyperlink r:id="rId12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hyperlink r:id="rId13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hyperlink r:id="rId14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2.3. др Новица Пауновић - реизбор у звање научни сарадник (</w:t>
      </w:r>
      <w:hyperlink r:id="rId15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hyperlink r:id="rId16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, </w:t>
      </w:r>
      <w:hyperlink r:id="rId17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2.4. Жарко Медић - избор у звање истраживач приправник (</w:t>
      </w:r>
      <w:hyperlink r:id="rId18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, презентација);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3. Покретање поступака за изборе у звања (извештај Комисије за вредновање научног рада о материјалима кандидата):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lastRenderedPageBreak/>
        <w:t>3.1. др Анђелија Илић - избор у звање виши научни сарадник (</w:t>
      </w:r>
      <w:hyperlink r:id="rId19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3.2. др Бојан Николић - реизбор у звање виши научни сарадник (</w:t>
      </w:r>
      <w:hyperlink r:id="rId20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3.3. др Андреј Буњац - избор у звање научни сарадник (</w:t>
      </w:r>
      <w:hyperlink r:id="rId21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3.4. др Марко Опачић - избор у звање научни сарадник (</w:t>
      </w:r>
      <w:hyperlink r:id="rId22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3.5. др Јелена Маљковић - реизбор у звање научни сарадник (</w:t>
      </w:r>
      <w:hyperlink r:id="rId23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  <w:t>3.6. др Дејан Ђокић - избор у звање истраживач сарадник (</w:t>
      </w:r>
      <w:hyperlink r:id="rId24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);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4. Доношење одлуке о усвајању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Допуне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п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рограма научноистраживачког рада и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Допуне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п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рограма научноистраживачког подмлатка: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- Центар за физику чврстог стања и нове материјале Института за физику (</w:t>
      </w:r>
      <w:hyperlink r:id="rId25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). 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5. Обавештања, питања и предлози. </w:t>
      </w: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br/>
      </w:r>
    </w:p>
    <w:p w:rsidR="005D57F0" w:rsidRPr="005D57F0" w:rsidRDefault="005D57F0" w:rsidP="005D5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5.1. Извештај о раду у Матичном одбору за физику (</w:t>
      </w:r>
      <w:hyperlink r:id="rId26" w:history="1">
        <w:r w:rsidRPr="005D57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GB"/>
          </w:rPr>
          <w:t>допис)</w:t>
        </w:r>
      </w:hyperlink>
      <w:r w:rsidRPr="005D57F0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:rsidR="00095F8F" w:rsidRDefault="00095F8F" w:rsidP="00D86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F8F" w:rsidRDefault="00095F8F" w:rsidP="00D86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</w:t>
      </w:r>
      <w:r w:rsidR="00FC5AA6">
        <w:rPr>
          <w:rFonts w:ascii="Times New Roman" w:hAnsi="Times New Roman" w:cs="Times New Roman"/>
          <w:sz w:val="24"/>
          <w:szCs w:val="24"/>
        </w:rPr>
        <w:t>усвајања дневног реда, прешло се на рад по тачкама дневног реда.</w:t>
      </w:r>
      <w:bookmarkStart w:id="0" w:name="_GoBack"/>
      <w:bookmarkEnd w:id="0"/>
    </w:p>
    <w:p w:rsidR="00095F8F" w:rsidRPr="00D860AE" w:rsidRDefault="00095F8F" w:rsidP="00D860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1F" w:rsidRPr="00C6780C" w:rsidRDefault="00C6780C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3F7">
        <w:rPr>
          <w:rFonts w:ascii="Times New Roman" w:hAnsi="Times New Roman" w:cs="Times New Roman"/>
          <w:sz w:val="24"/>
          <w:szCs w:val="24"/>
        </w:rPr>
        <w:t>Записник</w:t>
      </w:r>
      <w:r w:rsidR="0033701F" w:rsidRPr="00C6780C">
        <w:rPr>
          <w:rFonts w:ascii="Times New Roman" w:hAnsi="Times New Roman" w:cs="Times New Roman"/>
          <w:sz w:val="24"/>
          <w:szCs w:val="24"/>
        </w:rPr>
        <w:t xml:space="preserve"> са редовне</w:t>
      </w:r>
      <w:r w:rsidR="005D57F0">
        <w:rPr>
          <w:rFonts w:ascii="Times New Roman" w:hAnsi="Times New Roman" w:cs="Times New Roman"/>
          <w:sz w:val="24"/>
          <w:szCs w:val="24"/>
        </w:rPr>
        <w:t xml:space="preserve"> седнице Научног већа одржане 29.05</w:t>
      </w:r>
      <w:r w:rsidR="00BF0725">
        <w:rPr>
          <w:rFonts w:ascii="Times New Roman" w:hAnsi="Times New Roman" w:cs="Times New Roman"/>
          <w:sz w:val="24"/>
          <w:szCs w:val="24"/>
        </w:rPr>
        <w:t xml:space="preserve">.2018. године </w:t>
      </w:r>
      <w:r w:rsidR="008B23F7">
        <w:rPr>
          <w:rFonts w:ascii="Times New Roman" w:hAnsi="Times New Roman" w:cs="Times New Roman"/>
          <w:sz w:val="24"/>
          <w:szCs w:val="24"/>
          <w:lang/>
        </w:rPr>
        <w:t>у</w:t>
      </w:r>
      <w:r w:rsidR="00BF0725">
        <w:rPr>
          <w:rFonts w:ascii="Times New Roman" w:hAnsi="Times New Roman" w:cs="Times New Roman"/>
          <w:sz w:val="24"/>
          <w:szCs w:val="24"/>
        </w:rPr>
        <w:t>својен</w:t>
      </w:r>
      <w:r w:rsidR="008B23F7">
        <w:rPr>
          <w:rFonts w:ascii="Times New Roman" w:hAnsi="Times New Roman" w:cs="Times New Roman"/>
          <w:sz w:val="24"/>
          <w:szCs w:val="24"/>
        </w:rPr>
        <w:t xml:space="preserve"> је</w:t>
      </w:r>
      <w:r w:rsidR="00BF0725">
        <w:rPr>
          <w:rFonts w:ascii="Times New Roman" w:hAnsi="Times New Roman" w:cs="Times New Roman"/>
          <w:sz w:val="24"/>
          <w:szCs w:val="24"/>
        </w:rPr>
        <w:t xml:space="preserve"> једнoгласно</w:t>
      </w:r>
      <w:r w:rsidR="0033701F" w:rsidRPr="00C6780C">
        <w:rPr>
          <w:rFonts w:ascii="Times New Roman" w:hAnsi="Times New Roman" w:cs="Times New Roman"/>
          <w:sz w:val="24"/>
          <w:szCs w:val="24"/>
        </w:rPr>
        <w:t>.</w:t>
      </w:r>
    </w:p>
    <w:p w:rsidR="005D57F0" w:rsidRPr="005D57F0" w:rsidRDefault="0060215D" w:rsidP="009B58A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4. </w:t>
      </w:r>
      <w:r w:rsidR="005D57F0">
        <w:rPr>
          <w:rFonts w:ascii="Times New Roman" w:hAnsi="Times New Roman" w:cs="Times New Roman"/>
          <w:sz w:val="24"/>
          <w:szCs w:val="24"/>
          <w:lang/>
        </w:rPr>
        <w:t xml:space="preserve">Због унапред планираних обавеза др Зорана Поповића, руководиоца Центра за физику чврстог стања и нове материјале Института за физику, прешло се одмах на тачку 4. дневног реда. </w:t>
      </w:r>
      <w:r>
        <w:rPr>
          <w:rFonts w:ascii="Times New Roman" w:hAnsi="Times New Roman" w:cs="Times New Roman"/>
          <w:sz w:val="24"/>
          <w:szCs w:val="24"/>
          <w:lang/>
        </w:rPr>
        <w:t>Радна група о</w:t>
      </w:r>
      <w:r w:rsidR="005D57F0">
        <w:rPr>
          <w:rFonts w:ascii="Times New Roman" w:hAnsi="Times New Roman" w:cs="Times New Roman"/>
          <w:sz w:val="24"/>
          <w:szCs w:val="24"/>
          <w:lang/>
        </w:rPr>
        <w:t>дбор</w:t>
      </w:r>
      <w:r>
        <w:rPr>
          <w:rFonts w:ascii="Times New Roman" w:hAnsi="Times New Roman" w:cs="Times New Roman"/>
          <w:sz w:val="24"/>
          <w:szCs w:val="24"/>
          <w:lang/>
        </w:rPr>
        <w:t>а</w:t>
      </w:r>
      <w:r w:rsidR="005D57F0">
        <w:rPr>
          <w:rFonts w:ascii="Times New Roman" w:hAnsi="Times New Roman" w:cs="Times New Roman"/>
          <w:sz w:val="24"/>
          <w:szCs w:val="24"/>
          <w:lang/>
        </w:rPr>
        <w:t xml:space="preserve"> за акредитацију научноистраживачких организација је изнела недостатке поднетог материјала за акредитацију Центра за физику чврстог стања и нове материјале као Центра изузетних вредности. Чланови Научног већа су након краћег излагања др Зорана Поповића о програмима научноистраживачког рада и </w:t>
      </w:r>
      <w:r>
        <w:rPr>
          <w:rFonts w:ascii="Times New Roman" w:hAnsi="Times New Roman" w:cs="Times New Roman"/>
          <w:sz w:val="24"/>
          <w:szCs w:val="24"/>
          <w:lang/>
        </w:rPr>
        <w:t>научноистраживачког подмлатка гласали о усвајању допуна ових програма и донели одлуку да се ове допуне усвоје.</w:t>
      </w:r>
    </w:p>
    <w:p w:rsidR="00BD2867" w:rsidRPr="00C6780C" w:rsidRDefault="008B23F7" w:rsidP="009B58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="00BD2867" w:rsidRPr="00C6780C">
        <w:rPr>
          <w:rFonts w:ascii="Times New Roman" w:hAnsi="Times New Roman" w:cs="Times New Roman"/>
          <w:sz w:val="24"/>
          <w:szCs w:val="24"/>
        </w:rPr>
        <w:t xml:space="preserve"> односно реизбор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r w:rsidR="00BD2867" w:rsidRPr="00C6780C">
        <w:rPr>
          <w:rFonts w:ascii="Times New Roman" w:hAnsi="Times New Roman" w:cs="Times New Roman"/>
          <w:sz w:val="24"/>
          <w:szCs w:val="24"/>
        </w:rPr>
        <w:t xml:space="preserve">истраживачка 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 Комисија за изборе у звања. </w:t>
      </w:r>
      <w:r w:rsidR="00BD2867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BD2867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60215D" w:rsidRDefault="0060215D" w:rsidP="0060215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Константовано је да постоји кворум за пуноважно утврђивање предлога за избор/реизбор у научна звања научни саветник, виши научни сарадник и научни сарадник, као и истраживачко звање истраживач приправник.</w:t>
      </w:r>
    </w:p>
    <w:p w:rsidR="0060215D" w:rsidRDefault="0060215D" w:rsidP="006021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Воје Радовановића,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Бранислава Цветковића.</w:t>
      </w:r>
    </w:p>
    <w:p w:rsidR="0060215D" w:rsidRDefault="0060215D" w:rsidP="0060215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Жељке Никитовић,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Зорана Распоповића.</w:t>
      </w:r>
    </w:p>
    <w:p w:rsidR="0060215D" w:rsidRDefault="0060215D" w:rsidP="0060215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2.3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Новицу Пауновића.</w:t>
      </w:r>
    </w:p>
    <w:p w:rsidR="0033701F" w:rsidRDefault="008B23F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D2867">
        <w:rPr>
          <w:rFonts w:ascii="Times New Roman" w:hAnsi="Times New Roman" w:cs="Times New Roman"/>
          <w:sz w:val="24"/>
          <w:szCs w:val="24"/>
          <w:lang w:val="sr-Cyrl-CS"/>
        </w:rPr>
        <w:t>.4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694EAC" w:rsidRPr="008C022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60215D">
        <w:rPr>
          <w:rFonts w:ascii="Times New Roman" w:hAnsi="Times New Roman" w:cs="Times New Roman"/>
          <w:i/>
          <w:sz w:val="24"/>
          <w:szCs w:val="24"/>
          <w:lang w:val="sr-Cyrl-CS"/>
        </w:rPr>
        <w:t>Радоша Гајића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, након краће дискусије, ј</w:t>
      </w:r>
      <w:r w:rsidR="00C6780C"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6780C">
        <w:rPr>
          <w:rFonts w:ascii="Times New Roman" w:hAnsi="Times New Roman" w:cs="Times New Roman"/>
          <w:sz w:val="24"/>
          <w:szCs w:val="24"/>
          <w:lang w:val="sr-Cyrl-CS"/>
        </w:rPr>
        <w:t xml:space="preserve">онета одлука о 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избору</w:t>
      </w:r>
      <w:r w:rsidR="00694EAC" w:rsidRPr="00C678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215D">
        <w:rPr>
          <w:rFonts w:ascii="Times New Roman" w:hAnsi="Times New Roman" w:cs="Times New Roman"/>
          <w:b/>
          <w:sz w:val="24"/>
          <w:szCs w:val="24"/>
          <w:lang w:val="sr-Cyrl-CS"/>
        </w:rPr>
        <w:t>Жарка Медића</w:t>
      </w:r>
      <w:r w:rsidR="00694EAC" w:rsidRPr="008C0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у звање истраживач</w:t>
      </w:r>
      <w:r w:rsidR="008C0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приправник</w:t>
      </w:r>
      <w:r w:rsidR="008C02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C0228" w:rsidRPr="00516458" w:rsidRDefault="008B23F7" w:rsidP="009B58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D28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8C0228" w:rsidRPr="00516458">
        <w:rPr>
          <w:color w:val="000000"/>
          <w:lang w:val="sr-Cyrl-CS"/>
        </w:rPr>
        <w:t xml:space="preserve"> </w:t>
      </w:r>
      <w:r w:rsidR="008C0228"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8C0228" w:rsidRPr="009C2AE7" w:rsidRDefault="008B23F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.1 Једногласно је покренут поступак за избор </w:t>
      </w:r>
      <w:r w:rsidR="008C0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60215D">
        <w:rPr>
          <w:rFonts w:ascii="Times New Roman" w:hAnsi="Times New Roman" w:cs="Times New Roman"/>
          <w:b/>
          <w:sz w:val="24"/>
          <w:szCs w:val="24"/>
          <w:lang w:val="ru-RU"/>
        </w:rPr>
        <w:t>Анђелије Илић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>виши</w:t>
      </w:r>
      <w:r w:rsidR="009875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сарадник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3A03" w:rsidRDefault="008C0228" w:rsidP="00023A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A03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60215D">
        <w:rPr>
          <w:rFonts w:ascii="Times New Roman" w:hAnsi="Times New Roman" w:cs="Times New Roman"/>
          <w:sz w:val="24"/>
          <w:szCs w:val="24"/>
          <w:lang w:val="sr-Cyrl-CS"/>
        </w:rPr>
        <w:t>Небојша Ромчевић</w:t>
      </w:r>
      <w:r w:rsidR="00023A03"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1. референт,  Институт за физику у Београду, др </w:t>
      </w:r>
      <w:r w:rsidR="00095F8F">
        <w:rPr>
          <w:rFonts w:ascii="Times New Roman" w:hAnsi="Times New Roman" w:cs="Times New Roman"/>
          <w:sz w:val="24"/>
          <w:szCs w:val="24"/>
          <w:lang w:val="en-US"/>
        </w:rPr>
        <w:t>Јасна</w:t>
      </w:r>
      <w:r w:rsidR="0009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215D">
        <w:rPr>
          <w:rFonts w:ascii="Times New Roman" w:hAnsi="Times New Roman" w:cs="Times New Roman"/>
          <w:sz w:val="24"/>
          <w:szCs w:val="24"/>
          <w:lang w:val="sr-Cyrl-CS"/>
        </w:rPr>
        <w:t>Ристић Ђуровић</w:t>
      </w:r>
      <w:r w:rsidR="00023A03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 w:rsidR="0060215D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023A03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 у Београду, проф. др </w:t>
      </w:r>
      <w:r w:rsidR="0060215D">
        <w:rPr>
          <w:rFonts w:ascii="Times New Roman" w:hAnsi="Times New Roman" w:cs="Times New Roman"/>
          <w:sz w:val="24"/>
          <w:szCs w:val="24"/>
          <w:lang w:val="sr-Cyrl-CS"/>
        </w:rPr>
        <w:t>Антоније Ђорђевић</w:t>
      </w:r>
      <w:r w:rsidR="006E65B4">
        <w:rPr>
          <w:rFonts w:ascii="Times New Roman" w:hAnsi="Times New Roman" w:cs="Times New Roman"/>
          <w:sz w:val="24"/>
          <w:szCs w:val="24"/>
          <w:lang w:val="sr-Cyrl-CS"/>
        </w:rPr>
        <w:t>, редовни професор Електротехничког</w:t>
      </w:r>
      <w:r w:rsidR="00023A03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у Београду </w:t>
      </w:r>
    </w:p>
    <w:p w:rsidR="008C0228" w:rsidRPr="009C2AE7" w:rsidRDefault="008B23F7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.2. Једногласно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9875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6E65B4">
        <w:rPr>
          <w:rFonts w:ascii="Times New Roman" w:hAnsi="Times New Roman" w:cs="Times New Roman"/>
          <w:b/>
          <w:sz w:val="24"/>
          <w:szCs w:val="24"/>
          <w:lang w:val="ru-RU"/>
        </w:rPr>
        <w:t>Бојана Николића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987528">
        <w:rPr>
          <w:rFonts w:ascii="Times New Roman" w:hAnsi="Times New Roman" w:cs="Times New Roman"/>
          <w:sz w:val="24"/>
          <w:szCs w:val="24"/>
          <w:lang w:val="ru-RU"/>
        </w:rPr>
        <w:t>научни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023A03" w:rsidRDefault="008C0228" w:rsidP="00023A0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E65B4">
        <w:rPr>
          <w:rFonts w:ascii="Times New Roman" w:hAnsi="Times New Roman" w:cs="Times New Roman"/>
          <w:sz w:val="24"/>
          <w:szCs w:val="24"/>
          <w:lang w:val="sr-Cyrl-CS"/>
        </w:rPr>
        <w:t>проф. др Воја Радовановић, 1. референт, редовни професор Физичког факултета у Београду, др Бранислав Саздовић, научни саветник, Институт за физику у Београду, проф. др Маја Бурић, редовни професор Физичког факултета у Београду.</w:t>
      </w:r>
    </w:p>
    <w:p w:rsidR="008C0228" w:rsidRPr="009C2AE7" w:rsidRDefault="008B23F7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.3. Једногласно је покренут поступак за избор </w:t>
      </w:r>
      <w:r w:rsidR="006E65B4">
        <w:rPr>
          <w:rFonts w:ascii="Times New Roman" w:hAnsi="Times New Roman" w:cs="Times New Roman"/>
          <w:b/>
          <w:sz w:val="24"/>
          <w:szCs w:val="24"/>
          <w:lang w:val="ru-RU"/>
        </w:rPr>
        <w:t>др Андреја Буњца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 </w:t>
      </w:r>
      <w:r w:rsidR="006E65B4">
        <w:rPr>
          <w:rFonts w:ascii="Times New Roman" w:hAnsi="Times New Roman" w:cs="Times New Roman"/>
          <w:sz w:val="24"/>
          <w:szCs w:val="24"/>
          <w:lang w:val="ru-RU"/>
        </w:rPr>
        <w:t>научни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6E65B4" w:rsidRDefault="008C0228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E65B4">
        <w:rPr>
          <w:rFonts w:ascii="Times New Roman" w:hAnsi="Times New Roman" w:cs="Times New Roman"/>
          <w:sz w:val="24"/>
          <w:szCs w:val="24"/>
          <w:lang w:val="sr-Cyrl-CS"/>
        </w:rPr>
        <w:t xml:space="preserve">др Ненад Симоновић, научни саветник, Институт за физику у Београду, 1. референт, др Братислав Маринковић, научни саветник, Институт за физику у Београду, проф. др Горан Попарић, ванредни професор Физичког факултета у Београду </w:t>
      </w:r>
    </w:p>
    <w:p w:rsidR="009B58A7" w:rsidRPr="009C2AE7" w:rsidRDefault="008B23F7" w:rsidP="009B58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B58A7">
        <w:rPr>
          <w:rFonts w:ascii="Times New Roman" w:hAnsi="Times New Roman" w:cs="Times New Roman"/>
          <w:sz w:val="24"/>
          <w:szCs w:val="24"/>
          <w:lang w:val="sr-Cyrl-CS"/>
        </w:rPr>
        <w:t xml:space="preserve">.4 </w:t>
      </w:r>
      <w:r w:rsidR="009B58A7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6E65B4" w:rsidRPr="006E65B4">
        <w:rPr>
          <w:rFonts w:ascii="Times New Roman" w:hAnsi="Times New Roman" w:cs="Times New Roman"/>
          <w:b/>
          <w:sz w:val="24"/>
          <w:szCs w:val="24"/>
          <w:lang w:val="ru-RU"/>
        </w:rPr>
        <w:t>др Марка Опачића</w:t>
      </w:r>
      <w:r w:rsidR="009B58A7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6E65B4">
        <w:rPr>
          <w:rFonts w:ascii="Times New Roman" w:hAnsi="Times New Roman" w:cs="Times New Roman"/>
          <w:sz w:val="24"/>
          <w:szCs w:val="24"/>
          <w:lang w:val="ru-RU"/>
        </w:rPr>
        <w:t>научни сарадник</w:t>
      </w:r>
      <w:r w:rsidR="009B58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65B4" w:rsidRDefault="009B58A7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E65B4">
        <w:rPr>
          <w:rFonts w:ascii="Times New Roman" w:hAnsi="Times New Roman" w:cs="Times New Roman"/>
          <w:sz w:val="24"/>
          <w:szCs w:val="24"/>
          <w:lang w:val="sr-Cyrl-CS"/>
        </w:rPr>
        <w:t xml:space="preserve">др Ненад Лазаревић, виши научни сарадник, Институт за физику у Београду, 1. референт, др Маја Шћепановић, научни саветник, Институт за физику у Београду, др Дарко Танасковић, научни саветник, Институт за физику у Београду, академик др Зоран В. Поповић, научни саветник, Институт за физику у Београду, др Божидар Николић, доцент Физичког факултета у Београду </w:t>
      </w:r>
    </w:p>
    <w:p w:rsidR="006E65B4" w:rsidRPr="009C2AE7" w:rsidRDefault="006E65B4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Јелене Маљковић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6E65B4" w:rsidRDefault="006E65B4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Братислав Маринковић, научни саветник, Институт за физику у Београду, 1. референт, др Ненад Симоновић, научни саветник, Институт за физику у Београду, проф. др Горан Попарић, ванредни професор Физичког факултета у Београду.</w:t>
      </w:r>
    </w:p>
    <w:p w:rsidR="006E65B4" w:rsidRPr="009C2AE7" w:rsidRDefault="006E65B4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Дејана Ђокића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истраживач сарадник.</w:t>
      </w:r>
    </w:p>
    <w:p w:rsidR="006E65B4" w:rsidRDefault="006E65B4" w:rsidP="006E65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Зорана Дохчевић Митровић, научни саветник, Институт за физику у Београду, 1. референт, др Антун Балаж, научни саветник, Институт за физику у Београду, проф. др Стеван Стојадиновић, редовни професор Физичког факултета у Београду, др Димитрије Степаненко, виши научни сарадник, Институт за физику у Београду</w:t>
      </w:r>
    </w:p>
    <w:p w:rsidR="00686F21" w:rsidRPr="00686F21" w:rsidRDefault="006E6A01" w:rsidP="006E6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64F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65B6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>р Антун Балаж</w:t>
      </w:r>
      <w:r w:rsidR="00996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поднео извештај</w:t>
      </w:r>
      <w:r w:rsidR="009965B6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D56140">
        <w:rPr>
          <w:rFonts w:ascii="Times New Roman" w:hAnsi="Times New Roman" w:cs="Times New Roman"/>
          <w:sz w:val="24"/>
          <w:szCs w:val="24"/>
          <w:lang w:val="sr-Cyrl-CS"/>
        </w:rPr>
        <w:t xml:space="preserve">раду </w:t>
      </w:r>
      <w:r>
        <w:rPr>
          <w:rFonts w:ascii="Times New Roman" w:hAnsi="Times New Roman" w:cs="Times New Roman"/>
          <w:sz w:val="24"/>
          <w:szCs w:val="24"/>
          <w:lang w:val="sr-Cyrl-CS"/>
        </w:rPr>
        <w:t>у Матичном научном одбору</w:t>
      </w:r>
      <w:r w:rsidR="00D56140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физику.</w:t>
      </w:r>
      <w:r w:rsidR="001867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86F21" w:rsidRPr="00686F21" w:rsidRDefault="00686F21" w:rsidP="00686F21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0140" w:rsidRPr="007B6D83" w:rsidRDefault="005A0140" w:rsidP="0051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Default="007B3F15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BC9">
        <w:rPr>
          <w:rFonts w:ascii="Times New Roman" w:hAnsi="Times New Roman" w:cs="Times New Roman"/>
          <w:sz w:val="24"/>
          <w:szCs w:val="24"/>
        </w:rPr>
        <w:t>редседник Научног већа Института за физику</w:t>
      </w:r>
    </w:p>
    <w:p w:rsidR="00863BC9" w:rsidRPr="00863BC9" w:rsidRDefault="0033701F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Марија Радм</w:t>
      </w:r>
      <w:r w:rsidR="00863BC9">
        <w:rPr>
          <w:rFonts w:ascii="Times New Roman" w:hAnsi="Times New Roman" w:cs="Times New Roman"/>
          <w:sz w:val="24"/>
          <w:szCs w:val="24"/>
        </w:rPr>
        <w:t>иловић Рађеновић</w:t>
      </w:r>
    </w:p>
    <w:sectPr w:rsidR="00863BC9" w:rsidRPr="00863BC9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CA" w:rsidRDefault="002877CA" w:rsidP="00CC7A1B">
      <w:pPr>
        <w:spacing w:after="0" w:line="240" w:lineRule="auto"/>
      </w:pPr>
      <w:r>
        <w:separator/>
      </w:r>
    </w:p>
  </w:endnote>
  <w:endnote w:type="continuationSeparator" w:id="0">
    <w:p w:rsidR="002877CA" w:rsidRDefault="002877CA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Lato Thi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CA" w:rsidRDefault="002877CA" w:rsidP="00CC7A1B">
      <w:pPr>
        <w:spacing w:after="0" w:line="240" w:lineRule="auto"/>
      </w:pPr>
      <w:r>
        <w:separator/>
      </w:r>
    </w:p>
  </w:footnote>
  <w:footnote w:type="continuationSeparator" w:id="0">
    <w:p w:rsidR="002877CA" w:rsidRDefault="002877CA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23A03"/>
    <w:rsid w:val="00095F8F"/>
    <w:rsid w:val="000D7257"/>
    <w:rsid w:val="001635A5"/>
    <w:rsid w:val="00186763"/>
    <w:rsid w:val="001D5306"/>
    <w:rsid w:val="001D68E9"/>
    <w:rsid w:val="002877CA"/>
    <w:rsid w:val="002B2A23"/>
    <w:rsid w:val="002B79AF"/>
    <w:rsid w:val="002C594A"/>
    <w:rsid w:val="002F272A"/>
    <w:rsid w:val="00314DA8"/>
    <w:rsid w:val="0033701F"/>
    <w:rsid w:val="003A0F96"/>
    <w:rsid w:val="00452969"/>
    <w:rsid w:val="00516458"/>
    <w:rsid w:val="00591D0B"/>
    <w:rsid w:val="005A0140"/>
    <w:rsid w:val="005A42CD"/>
    <w:rsid w:val="005D57F0"/>
    <w:rsid w:val="0060215D"/>
    <w:rsid w:val="00602809"/>
    <w:rsid w:val="00641286"/>
    <w:rsid w:val="00646764"/>
    <w:rsid w:val="00657ED0"/>
    <w:rsid w:val="00686F21"/>
    <w:rsid w:val="00694EAC"/>
    <w:rsid w:val="006E65B4"/>
    <w:rsid w:val="006E6A01"/>
    <w:rsid w:val="007637BF"/>
    <w:rsid w:val="00765ACD"/>
    <w:rsid w:val="007842E9"/>
    <w:rsid w:val="007B3F15"/>
    <w:rsid w:val="007B6D83"/>
    <w:rsid w:val="00805448"/>
    <w:rsid w:val="00863BC9"/>
    <w:rsid w:val="00876982"/>
    <w:rsid w:val="008B23F7"/>
    <w:rsid w:val="008C0228"/>
    <w:rsid w:val="0095654F"/>
    <w:rsid w:val="00986370"/>
    <w:rsid w:val="00987528"/>
    <w:rsid w:val="00991384"/>
    <w:rsid w:val="009965B6"/>
    <w:rsid w:val="009B58A7"/>
    <w:rsid w:val="00A9791F"/>
    <w:rsid w:val="00AB2322"/>
    <w:rsid w:val="00BA529A"/>
    <w:rsid w:val="00BD1C34"/>
    <w:rsid w:val="00BD2867"/>
    <w:rsid w:val="00BD6842"/>
    <w:rsid w:val="00BF0725"/>
    <w:rsid w:val="00C57395"/>
    <w:rsid w:val="00C6780C"/>
    <w:rsid w:val="00CC7A1B"/>
    <w:rsid w:val="00D047A7"/>
    <w:rsid w:val="00D30DAA"/>
    <w:rsid w:val="00D56140"/>
    <w:rsid w:val="00D64FA0"/>
    <w:rsid w:val="00D75563"/>
    <w:rsid w:val="00D84EC3"/>
    <w:rsid w:val="00D860AE"/>
    <w:rsid w:val="00D94DE5"/>
    <w:rsid w:val="00DC55F4"/>
    <w:rsid w:val="00DF4A6F"/>
    <w:rsid w:val="00E07B98"/>
    <w:rsid w:val="00E43BA6"/>
    <w:rsid w:val="00E6225A"/>
    <w:rsid w:val="00E969F7"/>
    <w:rsid w:val="00F02BEC"/>
    <w:rsid w:val="00F31F9E"/>
    <w:rsid w:val="00F67207"/>
    <w:rsid w:val="00FB4DF1"/>
    <w:rsid w:val="00FB77B7"/>
    <w:rsid w:val="00FC5AA6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8&amp;materialId=0&amp;confId=508" TargetMode="External"/><Relationship Id="rId13" Type="http://schemas.openxmlformats.org/officeDocument/2006/relationships/hyperlink" Target="http://indico.ipb.ac.rs/getFile.py/access?resId=9&amp;materialId=0&amp;confId=508" TargetMode="External"/><Relationship Id="rId18" Type="http://schemas.openxmlformats.org/officeDocument/2006/relationships/hyperlink" Target="http://indico.ipb.ac.rs/getFile.py/access?resId=3&amp;materialId=0&amp;confId=508" TargetMode="External"/><Relationship Id="rId26" Type="http://schemas.openxmlformats.org/officeDocument/2006/relationships/hyperlink" Target="http://indico.ipb.ac.rs/getFile.py/access?resId=19&amp;materialId=0&amp;confId=50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7&amp;materialId=0&amp;confId=5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dico.ipb.ac.rs/getFile.py/access?resId=1&amp;materialId=0&amp;confId=508" TargetMode="External"/><Relationship Id="rId17" Type="http://schemas.openxmlformats.org/officeDocument/2006/relationships/hyperlink" Target="http://indico.ipb.ac.rs/getFile.py/access?resId=1&amp;materialId=slides&amp;confId=508" TargetMode="External"/><Relationship Id="rId25" Type="http://schemas.openxmlformats.org/officeDocument/2006/relationships/hyperlink" Target="http://indico.ipb.ac.rs/getFile.py/access?resId=18&amp;materialId=0&amp;confId=5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15&amp;materialId=0&amp;confId=508" TargetMode="External"/><Relationship Id="rId20" Type="http://schemas.openxmlformats.org/officeDocument/2006/relationships/hyperlink" Target="http://indico.ipb.ac.rs/getFile.py/access?resId=13&amp;materialId=0&amp;confId=508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dico.ipb.ac.rs/getFile.py/access?resId=2&amp;materialId=slides&amp;confId=508" TargetMode="External"/><Relationship Id="rId24" Type="http://schemas.openxmlformats.org/officeDocument/2006/relationships/hyperlink" Target="http://indico.ipb.ac.rs/getFile.py/access?resId=5&amp;materialId=0&amp;confId=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2&amp;materialId=0&amp;confId=508" TargetMode="External"/><Relationship Id="rId23" Type="http://schemas.openxmlformats.org/officeDocument/2006/relationships/hyperlink" Target="http://indico.ipb.ac.rs/getFile.py/access?resId=12&amp;materialId=0&amp;confId=5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dico.ipb.ac.rs/getFile.py/access?resId=14&amp;materialId=0&amp;confId=508" TargetMode="External"/><Relationship Id="rId19" Type="http://schemas.openxmlformats.org/officeDocument/2006/relationships/hyperlink" Target="http://indico.ipb.ac.rs/getFile.py/access?resId=16&amp;materialId=0&amp;confId=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0&amp;materialId=0&amp;confId=508" TargetMode="External"/><Relationship Id="rId14" Type="http://schemas.openxmlformats.org/officeDocument/2006/relationships/hyperlink" Target="http://indico.ipb.ac.rs/getFile.py/access?resId=0&amp;materialId=slides&amp;confId=508" TargetMode="External"/><Relationship Id="rId22" Type="http://schemas.openxmlformats.org/officeDocument/2006/relationships/hyperlink" Target="http://indico.ipb.ac.rs/getFile.py/access?resId=4&amp;materialId=0&amp;confId=5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9425-0CB4-479D-8029-FDAA230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bradjeno@ipb.ac.rs</cp:lastModifiedBy>
  <cp:revision>2</cp:revision>
  <dcterms:created xsi:type="dcterms:W3CDTF">2018-09-03T17:44:00Z</dcterms:created>
  <dcterms:modified xsi:type="dcterms:W3CDTF">2018-09-03T17:44:00Z</dcterms:modified>
</cp:coreProperties>
</file>